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9A" w:rsidRDefault="00BD1CD6">
      <w:pPr>
        <w:rPr>
          <w:rFonts w:hint="eastAsia"/>
        </w:rPr>
      </w:pPr>
      <w:r w:rsidRPr="00BD1CD6">
        <w:t>Diversity and independence of board members</w:t>
      </w:r>
    </w:p>
    <w:p w:rsidR="00BD1CD6" w:rsidRPr="00BD1CD6" w:rsidRDefault="00BD1CD6">
      <w:pPr>
        <w:rPr>
          <w:rFonts w:hint="eastAsia"/>
        </w:rPr>
      </w:pPr>
    </w:p>
    <w:tbl>
      <w:tblPr>
        <w:tblW w:w="499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079"/>
        <w:gridCol w:w="718"/>
        <w:gridCol w:w="1027"/>
        <w:gridCol w:w="622"/>
        <w:gridCol w:w="670"/>
        <w:gridCol w:w="669"/>
        <w:gridCol w:w="669"/>
        <w:gridCol w:w="1005"/>
        <w:gridCol w:w="669"/>
        <w:gridCol w:w="1374"/>
        <w:gridCol w:w="690"/>
        <w:gridCol w:w="1105"/>
        <w:gridCol w:w="1050"/>
        <w:gridCol w:w="648"/>
        <w:gridCol w:w="1414"/>
      </w:tblGrid>
      <w:tr w:rsidR="00BD1CD6" w:rsidRPr="00BD1CD6" w:rsidTr="009A6F2B">
        <w:trPr>
          <w:trHeight w:val="373"/>
          <w:tblCellSpacing w:w="0" w:type="dxa"/>
        </w:trPr>
        <w:tc>
          <w:tcPr>
            <w:tcW w:w="570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NAME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basic component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Professional competence</w:t>
            </w:r>
          </w:p>
        </w:tc>
      </w:tr>
      <w:tr w:rsidR="00BD1CD6" w:rsidRPr="00BD1CD6" w:rsidTr="009A6F2B">
        <w:trPr>
          <w:trHeight w:val="746"/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Nationality</w:t>
            </w:r>
          </w:p>
        </w:tc>
        <w:tc>
          <w:tcPr>
            <w:tcW w:w="23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Gender</w:t>
            </w:r>
          </w:p>
        </w:tc>
        <w:tc>
          <w:tcPr>
            <w:tcW w:w="33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Part-time employees of the company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age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Independent directors' tenure</w:t>
            </w:r>
          </w:p>
        </w:tc>
        <w:tc>
          <w:tcPr>
            <w:tcW w:w="45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Ability to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conduct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management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administration</w:t>
            </w:r>
          </w:p>
        </w:tc>
        <w:tc>
          <w:tcPr>
            <w:tcW w:w="22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Ability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to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lead</w:t>
            </w:r>
          </w:p>
        </w:tc>
        <w:tc>
          <w:tcPr>
            <w:tcW w:w="365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Knowledge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of the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industry</w:t>
            </w:r>
          </w:p>
        </w:tc>
        <w:tc>
          <w:tcPr>
            <w:tcW w:w="34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Ability to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perform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accounting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and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financial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analysis</w:t>
            </w:r>
          </w:p>
        </w:tc>
        <w:tc>
          <w:tcPr>
            <w:tcW w:w="21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Legal</w:t>
            </w:r>
          </w:p>
        </w:tc>
        <w:tc>
          <w:tcPr>
            <w:tcW w:w="46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Public welfare /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Environmental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protection</w:t>
            </w:r>
          </w:p>
        </w:tc>
      </w:tr>
      <w:tr w:rsidR="00BD1CD6" w:rsidRPr="00BD1CD6" w:rsidTr="009A6F2B">
        <w:trPr>
          <w:trHeight w:val="1387"/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45~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60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61~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70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71~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80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Less than 3 years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3~9  years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Over 9 years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  <w:tr w:rsidR="00BD1CD6" w:rsidRPr="00BD1CD6" w:rsidTr="009A6F2B">
        <w:trPr>
          <w:trHeight w:val="716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Chairman Kuo Hao Tseng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</w:tr>
      <w:tr w:rsidR="00BD1CD6" w:rsidRPr="00BD1CD6" w:rsidTr="009A6F2B">
        <w:trPr>
          <w:trHeight w:val="716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Director Susan Hu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Female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</w:tr>
      <w:tr w:rsidR="00BD1CD6" w:rsidRPr="00BD1CD6" w:rsidTr="009A6F2B">
        <w:trPr>
          <w:trHeight w:val="716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Director Mei Li Tsai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Female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</w:tr>
      <w:tr w:rsidR="00BD1CD6" w:rsidRPr="00BD1CD6" w:rsidTr="009A6F2B">
        <w:trPr>
          <w:trHeight w:val="358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Director K.S.Lin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</w:tr>
      <w:tr w:rsidR="00BD1CD6" w:rsidRPr="00BD1CD6" w:rsidTr="009A6F2B">
        <w:trPr>
          <w:trHeight w:val="716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Independent Director</w:t>
            </w: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 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Cy Su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</w:tr>
      <w:tr w:rsidR="00BD1CD6" w:rsidRPr="00BD1CD6" w:rsidTr="009A6F2B">
        <w:trPr>
          <w:trHeight w:val="1074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Independent Director Minkon Huang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V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</w:tr>
      <w:tr w:rsidR="00BD1CD6" w:rsidRPr="00BD1CD6" w:rsidTr="009A6F2B">
        <w:trPr>
          <w:trHeight w:val="1074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Independent Director</w:t>
            </w: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 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Wen Hsiang Lu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  <w:tr w:rsidR="00BD1CD6" w:rsidRPr="00BD1CD6" w:rsidTr="009A6F2B">
        <w:trPr>
          <w:trHeight w:val="1074"/>
          <w:tblCellSpacing w:w="0" w:type="dxa"/>
        </w:trPr>
        <w:tc>
          <w:tcPr>
            <w:tcW w:w="5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Independent Director</w:t>
            </w:r>
            <w:r w:rsidRPr="00BD1CD6">
              <w:rPr>
                <w:rFonts w:ascii="Calibri" w:eastAsia="新細明體" w:hAnsi="Calibri" w:cs="Times New Roman"/>
              </w:rPr>
              <w:t xml:space="preserve"> </w:t>
            </w: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Ding An Lee</w:t>
            </w:r>
          </w:p>
        </w:tc>
        <w:tc>
          <w:tcPr>
            <w:tcW w:w="3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ROC</w:t>
            </w:r>
          </w:p>
        </w:tc>
        <w:tc>
          <w:tcPr>
            <w:tcW w:w="2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/>
                <w:kern w:val="0"/>
                <w:sz w:val="22"/>
              </w:rPr>
              <w:t>Female</w:t>
            </w:r>
          </w:p>
        </w:tc>
        <w:tc>
          <w:tcPr>
            <w:tcW w:w="3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D1CD6">
              <w:rPr>
                <w:rFonts w:ascii="新細明體" w:eastAsia="新細明體" w:hAnsi="新細明體" w:cs="新細明體" w:hint="eastAsia"/>
                <w:kern w:val="0"/>
                <w:sz w:val="22"/>
              </w:rPr>
              <w:t>V</w:t>
            </w:r>
          </w:p>
        </w:tc>
        <w:tc>
          <w:tcPr>
            <w:tcW w:w="21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D1CD6" w:rsidRPr="00BD1CD6" w:rsidRDefault="00BD1CD6" w:rsidP="00BD1C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</w:tbl>
    <w:p w:rsidR="00BD1CD6" w:rsidRPr="00BD1CD6" w:rsidRDefault="00BD1CD6">
      <w:pPr>
        <w:rPr>
          <w:rFonts w:hint="eastAsia"/>
        </w:rPr>
      </w:pPr>
    </w:p>
    <w:p w:rsidR="00BD1CD6" w:rsidRPr="00BD1CD6" w:rsidRDefault="00BD1CD6" w:rsidP="00BD1CD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D1CD6">
        <w:rPr>
          <w:rFonts w:ascii="新細明體" w:eastAsia="新細明體" w:hAnsi="新細明體" w:cs="新細明體" w:hint="eastAsia"/>
          <w:kern w:val="0"/>
          <w:szCs w:val="24"/>
        </w:rPr>
        <w:t>(1)</w:t>
      </w:r>
      <w:r w:rsidRPr="00BD1CD6">
        <w:rPr>
          <w:rFonts w:ascii="新細明體" w:eastAsia="新細明體" w:hAnsi="新細明體" w:cs="新細明體"/>
          <w:kern w:val="0"/>
          <w:szCs w:val="24"/>
        </w:rPr>
        <w:t>The current board of directors of the company consists of</w:t>
      </w:r>
      <w:r w:rsidRPr="00BD1CD6">
        <w:rPr>
          <w:rFonts w:ascii="新細明體" w:eastAsia="新細明體" w:hAnsi="新細明體" w:cs="新細明體" w:hint="eastAsia"/>
          <w:kern w:val="0"/>
          <w:szCs w:val="24"/>
        </w:rPr>
        <w:t xml:space="preserve"> 8</w:t>
      </w:r>
      <w:r w:rsidRPr="00BD1CD6">
        <w:rPr>
          <w:rFonts w:ascii="新細明體" w:eastAsia="新細明體" w:hAnsi="新細明體" w:cs="新細明體"/>
          <w:kern w:val="0"/>
          <w:szCs w:val="24"/>
        </w:rPr>
        <w:t xml:space="preserve"> directors, including 2 non-executive directors(25%), </w:t>
      </w:r>
      <w:r w:rsidRPr="00BD1CD6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BD1CD6">
        <w:rPr>
          <w:rFonts w:ascii="新細明體" w:eastAsia="新細明體" w:hAnsi="新細明體" w:cs="新細明體"/>
          <w:kern w:val="0"/>
          <w:szCs w:val="24"/>
        </w:rPr>
        <w:t xml:space="preserve"> independent directors</w:t>
      </w:r>
      <w:r w:rsidRPr="00BD1CD6">
        <w:rPr>
          <w:rFonts w:ascii="新細明體" w:eastAsia="新細明體" w:hAnsi="新細明體" w:cs="新細明體" w:hint="eastAsia"/>
          <w:bCs/>
          <w:kern w:val="0"/>
          <w:szCs w:val="24"/>
        </w:rPr>
        <w:t>(50%)</w:t>
      </w:r>
      <w:r w:rsidRPr="00BD1CD6">
        <w:rPr>
          <w:rFonts w:ascii="新細明體" w:eastAsia="新細明體" w:hAnsi="新細明體" w:cs="新細明體"/>
          <w:kern w:val="0"/>
          <w:szCs w:val="24"/>
        </w:rPr>
        <w:t xml:space="preserve"> and 2 executive directors(25%). (Kuo-Hao Tseng Chairman and President and Susan Hu Senior Vice President)，Members have extensive experience and expertise in the fields of industrial operation, finance and management.</w:t>
      </w:r>
      <w:r w:rsidRPr="00BD1CD6">
        <w:rPr>
          <w:rFonts w:ascii="新細明體" w:eastAsia="新細明體" w:hAnsi="新細明體" w:cs="新細明體"/>
          <w:kern w:val="0"/>
          <w:szCs w:val="24"/>
        </w:rPr>
        <w:br/>
      </w:r>
      <w:r w:rsidRPr="00BD1CD6">
        <w:rPr>
          <w:rFonts w:ascii="新細明體" w:eastAsia="新細明體" w:hAnsi="新細明體" w:cs="新細明體"/>
          <w:kern w:val="0"/>
          <w:szCs w:val="24"/>
        </w:rPr>
        <w:br/>
        <w:t>(2). Term experience of independent directors: 2 with less than 3 years, 1 with 3 to 9 years, and 1 with more than 9 years.</w:t>
      </w:r>
    </w:p>
    <w:p w:rsidR="00BD1CD6" w:rsidRPr="00BD1CD6" w:rsidRDefault="00BD1CD6" w:rsidP="00BD1CD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BD1CD6">
        <w:rPr>
          <w:rFonts w:ascii="新細明體" w:eastAsia="新細明體" w:hAnsi="新細明體" w:cs="新細明體"/>
          <w:kern w:val="0"/>
          <w:szCs w:val="24"/>
        </w:rPr>
        <w:t>(3) Age of directors: 3 (38%) are between 45 and 60 years old, 3 (38%) are between 61 and 70 years old, and 2 (24%) are between 71 and 80 years old.</w:t>
      </w:r>
    </w:p>
    <w:p w:rsidR="00BD1CD6" w:rsidRPr="00BD1CD6" w:rsidRDefault="00BD1CD6" w:rsidP="00BD1CD6">
      <w:pPr>
        <w:rPr>
          <w:rFonts w:ascii="新細明體" w:eastAsia="新細明體" w:hAnsi="新細明體" w:cs="Arial"/>
          <w:bCs/>
          <w:sz w:val="22"/>
        </w:rPr>
      </w:pPr>
      <w:r w:rsidRPr="00BD1CD6">
        <w:rPr>
          <w:rFonts w:ascii="新細明體" w:eastAsia="新細明體" w:hAnsi="新細明體" w:cs="新細明體" w:hint="eastAsia"/>
          <w:kern w:val="0"/>
          <w:szCs w:val="24"/>
        </w:rPr>
        <w:t>(4).</w:t>
      </w:r>
      <w:r w:rsidRPr="00BD1CD6">
        <w:rPr>
          <w:rFonts w:ascii="Calibri" w:eastAsia="新細明體" w:hAnsi="Calibri" w:cs="Times New Roman"/>
        </w:rPr>
        <w:t xml:space="preserve"> </w:t>
      </w:r>
      <w:r w:rsidRPr="00BD1CD6">
        <w:rPr>
          <w:rFonts w:ascii="新細明體" w:eastAsia="新細明體" w:hAnsi="新細明體" w:cs="Arial"/>
          <w:bCs/>
          <w:sz w:val="22"/>
        </w:rPr>
        <w:t>The specific management objectives and achievement status of the diversity policy are as follows: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0"/>
        <w:gridCol w:w="2976"/>
      </w:tblGrid>
      <w:tr w:rsidR="00BD1CD6" w:rsidRPr="00BD1CD6" w:rsidTr="009A6F2B">
        <w:tc>
          <w:tcPr>
            <w:tcW w:w="7770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management objectives</w:t>
            </w:r>
          </w:p>
        </w:tc>
        <w:tc>
          <w:tcPr>
            <w:tcW w:w="2976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Achieve situation</w:t>
            </w:r>
          </w:p>
        </w:tc>
      </w:tr>
      <w:tr w:rsidR="00BD1CD6" w:rsidRPr="00BD1CD6" w:rsidTr="009A6F2B">
        <w:tc>
          <w:tcPr>
            <w:tcW w:w="7770" w:type="dxa"/>
            <w:shd w:val="clear" w:color="auto" w:fill="auto"/>
          </w:tcPr>
          <w:p w:rsidR="00BD1CD6" w:rsidRPr="00BD1CD6" w:rsidRDefault="00BD1CD6" w:rsidP="00BD1CD6">
            <w:pPr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The number of independent director seats reaches one-half of the director seats.</w:t>
            </w:r>
          </w:p>
        </w:tc>
        <w:tc>
          <w:tcPr>
            <w:tcW w:w="2976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achieve</w:t>
            </w:r>
          </w:p>
        </w:tc>
      </w:tr>
      <w:tr w:rsidR="00BD1CD6" w:rsidRPr="00BD1CD6" w:rsidTr="009A6F2B">
        <w:tc>
          <w:tcPr>
            <w:tcW w:w="7770" w:type="dxa"/>
            <w:shd w:val="clear" w:color="auto" w:fill="auto"/>
          </w:tcPr>
          <w:p w:rsidR="00BD1CD6" w:rsidRPr="00BD1CD6" w:rsidRDefault="00BD1CD6" w:rsidP="00BD1CD6">
            <w:pPr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Directors who are also managers of the company shall not exceed one third of the number of directors.</w:t>
            </w:r>
          </w:p>
        </w:tc>
        <w:tc>
          <w:tcPr>
            <w:tcW w:w="2976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achieve</w:t>
            </w:r>
          </w:p>
        </w:tc>
      </w:tr>
      <w:tr w:rsidR="00BD1CD6" w:rsidRPr="00BD1CD6" w:rsidTr="009A6F2B">
        <w:tc>
          <w:tcPr>
            <w:tcW w:w="7770" w:type="dxa"/>
            <w:shd w:val="clear" w:color="auto" w:fill="auto"/>
          </w:tcPr>
          <w:p w:rsidR="00BD1CD6" w:rsidRPr="00BD1CD6" w:rsidRDefault="00BD1CD6" w:rsidP="00BD1CD6">
            <w:pPr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The target for the ratio of female directors to be more than one third</w:t>
            </w:r>
          </w:p>
        </w:tc>
        <w:tc>
          <w:tcPr>
            <w:tcW w:w="2976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achieve</w:t>
            </w:r>
          </w:p>
        </w:tc>
      </w:tr>
      <w:tr w:rsidR="00BD1CD6" w:rsidRPr="00BD1CD6" w:rsidTr="009A6F2B">
        <w:tc>
          <w:tcPr>
            <w:tcW w:w="7770" w:type="dxa"/>
            <w:shd w:val="clear" w:color="auto" w:fill="auto"/>
          </w:tcPr>
          <w:p w:rsidR="00BD1CD6" w:rsidRPr="00BD1CD6" w:rsidRDefault="00BD1CD6" w:rsidP="00BD1CD6">
            <w:pPr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Sufficient and diverse professional knowledge and skills</w:t>
            </w:r>
          </w:p>
        </w:tc>
        <w:tc>
          <w:tcPr>
            <w:tcW w:w="2976" w:type="dxa"/>
            <w:shd w:val="clear" w:color="auto" w:fill="auto"/>
          </w:tcPr>
          <w:p w:rsidR="00BD1CD6" w:rsidRPr="00BD1CD6" w:rsidRDefault="00BD1CD6" w:rsidP="00BD1CD6">
            <w:pPr>
              <w:jc w:val="center"/>
              <w:rPr>
                <w:rFonts w:ascii="新細明體" w:eastAsia="新細明體" w:hAnsi="新細明體" w:cs="Arial"/>
                <w:bCs/>
                <w:sz w:val="22"/>
              </w:rPr>
            </w:pPr>
            <w:r w:rsidRPr="00BD1CD6">
              <w:rPr>
                <w:rFonts w:ascii="新細明體" w:eastAsia="新細明體" w:hAnsi="新細明體" w:cs="Arial"/>
                <w:bCs/>
                <w:sz w:val="22"/>
              </w:rPr>
              <w:t>achieve</w:t>
            </w:r>
          </w:p>
        </w:tc>
        <w:bookmarkStart w:id="0" w:name="_GoBack"/>
        <w:bookmarkEnd w:id="0"/>
      </w:tr>
    </w:tbl>
    <w:p w:rsidR="00BD1CD6" w:rsidRPr="00BD1CD6" w:rsidRDefault="00BD1CD6" w:rsidP="00BD1CD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BD1CD6" w:rsidRDefault="00BD1CD6"/>
    <w:sectPr w:rsidR="00BD1CD6" w:rsidSect="00BD1CD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B"/>
    <w:rsid w:val="007C1ADB"/>
    <w:rsid w:val="008F33FE"/>
    <w:rsid w:val="00AF1485"/>
    <w:rsid w:val="00AF641D"/>
    <w:rsid w:val="00B67ADA"/>
    <w:rsid w:val="00B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148</cp:lastModifiedBy>
  <cp:revision>2</cp:revision>
  <dcterms:created xsi:type="dcterms:W3CDTF">2024-01-31T01:59:00Z</dcterms:created>
  <dcterms:modified xsi:type="dcterms:W3CDTF">2024-01-31T02:00:00Z</dcterms:modified>
</cp:coreProperties>
</file>