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57" w:rsidRPr="00882357" w:rsidRDefault="00882357" w:rsidP="00882357">
      <w:pPr>
        <w:widowControl/>
        <w:spacing w:beforeAutospacing="1" w:afterAutospacing="1"/>
        <w:jc w:val="center"/>
        <w:rPr>
          <w:rFonts w:ascii="新細明體" w:hAnsi="新細明體"/>
          <w:b/>
          <w:sz w:val="32"/>
          <w:szCs w:val="32"/>
        </w:rPr>
      </w:pPr>
      <w:r w:rsidRPr="00882357">
        <w:rPr>
          <w:rFonts w:ascii="新細明體" w:hAnsi="新細明體" w:cs="新細明體"/>
          <w:b/>
          <w:bCs/>
          <w:kern w:val="0"/>
          <w:sz w:val="32"/>
          <w:szCs w:val="32"/>
        </w:rPr>
        <w:t>Insider Trading Prevention Measures</w:t>
      </w:r>
    </w:p>
    <w:p w:rsidR="004B26EC" w:rsidRPr="00D52295" w:rsidRDefault="004B26EC" w:rsidP="004B26EC">
      <w:pPr>
        <w:widowControl/>
        <w:spacing w:beforeAutospacing="1" w:afterAutospacing="1"/>
        <w:rPr>
          <w:rFonts w:ascii="新細明體" w:hAnsi="新細明體"/>
          <w:b/>
          <w:szCs w:val="24"/>
        </w:rPr>
      </w:pPr>
      <w:r w:rsidRPr="00D52295">
        <w:rPr>
          <w:rFonts w:ascii="新細明體" w:hAnsi="新細明體"/>
          <w:b/>
          <w:szCs w:val="24"/>
        </w:rPr>
        <w:t xml:space="preserve">1. </w:t>
      </w:r>
      <w:r w:rsidR="00D52295" w:rsidRPr="00D52295">
        <w:rPr>
          <w:rFonts w:ascii="新細明體" w:hAnsi="新細明體"/>
          <w:b/>
          <w:szCs w:val="24"/>
        </w:rPr>
        <w:t>Management Guidelines for Preventing Insider Trading</w:t>
      </w:r>
      <w:r w:rsidRPr="00D52295">
        <w:rPr>
          <w:rFonts w:ascii="新細明體" w:hAnsi="新細明體"/>
          <w:b/>
          <w:szCs w:val="24"/>
        </w:rPr>
        <w:t>：</w:t>
      </w:r>
    </w:p>
    <w:p w:rsidR="00D52295" w:rsidRPr="00D52295" w:rsidRDefault="00D52295" w:rsidP="00D52295">
      <w:pPr>
        <w:widowControl/>
        <w:spacing w:beforeAutospacing="1" w:afterAutospacing="1"/>
        <w:rPr>
          <w:rFonts w:ascii="新細明體" w:hAnsi="新細明體"/>
          <w:szCs w:val="24"/>
        </w:rPr>
      </w:pPr>
      <w:r w:rsidRPr="00D52295">
        <w:rPr>
          <w:rFonts w:ascii="新細明體" w:hAnsi="新細明體"/>
          <w:szCs w:val="24"/>
        </w:rPr>
        <w:t>The company referred to the "Internal Material Information Processing Procedures" issued by the Taiwan Stock Exchange Co., Ltd., and on July 6, 2011, the first session of the fifth board of directors passed the formulation of the "</w:t>
      </w:r>
      <w:hyperlink r:id="rId5" w:tgtFrame="_blank" w:history="1">
        <w:r w:rsidRPr="00D52295">
          <w:rPr>
            <w:rFonts w:ascii="新細明體" w:hAnsi="新細明體" w:cs="Arial"/>
            <w:szCs w:val="24"/>
          </w:rPr>
          <w:t>Rules and Procedures of to prevent insider trading</w:t>
        </w:r>
      </w:hyperlink>
      <w:r w:rsidRPr="00D52295">
        <w:rPr>
          <w:rFonts w:ascii="新細明體" w:hAnsi="新細明體"/>
          <w:szCs w:val="24"/>
        </w:rPr>
        <w:t>" as the company's The conduct of directors, managers, and persons who comply with insider trading regulations must abide by the Code, which clearly stipulates that the aforementioned personnel shall comply with laws, regulations, and orders including insider trading laws. Over the years, it has been continuously revised in line with laws and practical operations (the latest revision was adopted by the 14th session of the eighth session of the Board of Directors on November 7, 2022)</w:t>
      </w:r>
      <w:r w:rsidRPr="00D52295">
        <w:rPr>
          <w:rFonts w:ascii="新細明體" w:hAnsi="新細明體" w:hint="eastAsia"/>
          <w:szCs w:val="24"/>
        </w:rPr>
        <w:t>.</w:t>
      </w:r>
      <w:r w:rsidRPr="00D52295">
        <w:rPr>
          <w:rFonts w:ascii="新細明體" w:hAnsi="新細明體"/>
          <w:szCs w:val="24"/>
        </w:rPr>
        <w:t xml:space="preserve"> This code has been posted on the company's bulletin board and the </w:t>
      </w:r>
      <w:r w:rsidRPr="00D52295">
        <w:rPr>
          <w:rFonts w:ascii="新細明體" w:hAnsi="新細明體"/>
          <w:color w:val="FF0000"/>
          <w:szCs w:val="24"/>
        </w:rPr>
        <w:t xml:space="preserve">" Major Internal Policies " </w:t>
      </w:r>
      <w:r w:rsidRPr="00D52295">
        <w:rPr>
          <w:rFonts w:ascii="新細明體" w:hAnsi="新細明體"/>
          <w:szCs w:val="24"/>
        </w:rPr>
        <w:t>on the company's official website (http://www.aerowin.com) for all colleagues to follow in order to avoid violations or insider trading.</w:t>
      </w:r>
    </w:p>
    <w:p w:rsidR="004B26EC" w:rsidRPr="00D52295" w:rsidRDefault="004B26EC" w:rsidP="004B26EC">
      <w:pPr>
        <w:widowControl/>
        <w:spacing w:beforeAutospacing="1" w:afterAutospacing="1"/>
        <w:rPr>
          <w:rFonts w:ascii="新細明體" w:hAnsi="新細明體"/>
          <w:b/>
          <w:szCs w:val="24"/>
        </w:rPr>
      </w:pPr>
      <w:r w:rsidRPr="00D52295">
        <w:rPr>
          <w:rFonts w:ascii="新細明體" w:hAnsi="新細明體"/>
          <w:b/>
          <w:szCs w:val="24"/>
        </w:rPr>
        <w:t xml:space="preserve">2. </w:t>
      </w:r>
      <w:r w:rsidR="00D52295" w:rsidRPr="00D52295">
        <w:rPr>
          <w:rFonts w:ascii="新細明體" w:hAnsi="新細明體"/>
          <w:b/>
          <w:szCs w:val="24"/>
        </w:rPr>
        <w:t>Implementation situation</w:t>
      </w:r>
      <w:r w:rsidRPr="00D52295">
        <w:rPr>
          <w:rFonts w:ascii="新細明體" w:hAnsi="新細明體"/>
          <w:b/>
          <w:szCs w:val="24"/>
        </w:rPr>
        <w:t>：</w:t>
      </w:r>
    </w:p>
    <w:p w:rsidR="00D52295" w:rsidRPr="00D52295" w:rsidRDefault="004A113E" w:rsidP="004B26EC">
      <w:pPr>
        <w:rPr>
          <w:rFonts w:ascii="新細明體" w:hAnsi="新細明體"/>
          <w:szCs w:val="24"/>
        </w:rPr>
      </w:pPr>
      <w:r w:rsidRPr="00D52295">
        <w:rPr>
          <w:rFonts w:ascii="新細明體" w:hAnsi="新細明體"/>
          <w:szCs w:val="24"/>
        </w:rPr>
        <w:t>(1)</w:t>
      </w:r>
      <w:r w:rsidR="00D52295" w:rsidRPr="00D52295">
        <w:rPr>
          <w:rFonts w:ascii="新細明體" w:hAnsi="新細明體"/>
          <w:szCs w:val="24"/>
        </w:rPr>
        <w:t xml:space="preserve"> The company conducts education and publicity on the "Rules and Procedures of to prevent insider trading" and related laws and regulations to directors, managers and employees at least once a year. Timely education and promotion will be provided to new directors, managers and employees.</w:t>
      </w:r>
    </w:p>
    <w:p w:rsidR="004A113E" w:rsidRPr="00D52295" w:rsidRDefault="004B26EC" w:rsidP="004A113E">
      <w:pPr>
        <w:rPr>
          <w:rFonts w:ascii="新細明體" w:hAnsi="新細明體"/>
          <w:szCs w:val="24"/>
        </w:rPr>
      </w:pPr>
      <w:r w:rsidRPr="00D52295">
        <w:rPr>
          <w:rFonts w:ascii="新細明體" w:hAnsi="新細明體"/>
          <w:szCs w:val="24"/>
        </w:rPr>
        <w:t>(2)</w:t>
      </w:r>
      <w:r w:rsidR="00D52295" w:rsidRPr="00D52295">
        <w:rPr>
          <w:rFonts w:ascii="新細明體" w:hAnsi="新細明體"/>
          <w:szCs w:val="24"/>
        </w:rPr>
        <w:t xml:space="preserve"> Provide the company's "</w:t>
      </w:r>
      <w:hyperlink r:id="rId6" w:tgtFrame="_blank" w:history="1">
        <w:r w:rsidR="00D52295" w:rsidRPr="00D52295">
          <w:rPr>
            <w:rFonts w:ascii="新細明體" w:hAnsi="新細明體" w:cs="Arial"/>
            <w:szCs w:val="24"/>
          </w:rPr>
          <w:t>Rules and Procedures of to prevent insider trading</w:t>
        </w:r>
      </w:hyperlink>
      <w:r w:rsidR="00D52295" w:rsidRPr="00D52295">
        <w:rPr>
          <w:rFonts w:ascii="新細明體" w:hAnsi="新細明體"/>
          <w:szCs w:val="24"/>
        </w:rPr>
        <w:t>" to all directors.</w:t>
      </w:r>
    </w:p>
    <w:p w:rsidR="00D52295" w:rsidRPr="00D52295" w:rsidRDefault="004A113E" w:rsidP="004B26EC">
      <w:pPr>
        <w:rPr>
          <w:rFonts w:ascii="新細明體" w:hAnsi="新細明體"/>
          <w:szCs w:val="24"/>
        </w:rPr>
      </w:pPr>
      <w:r w:rsidRPr="00D52295">
        <w:rPr>
          <w:rFonts w:ascii="新細明體" w:hAnsi="新細明體"/>
          <w:szCs w:val="24"/>
        </w:rPr>
        <w:t>(3)</w:t>
      </w:r>
      <w:r w:rsidR="00D52295" w:rsidRPr="00D52295">
        <w:rPr>
          <w:rFonts w:ascii="新細明體" w:hAnsi="新細明體"/>
          <w:szCs w:val="24"/>
        </w:rPr>
        <w:t xml:space="preserve"> The Company also publicizes measures to prevent insider trading when it sends monthly shareholding change notification notices to managers.</w:t>
      </w:r>
    </w:p>
    <w:p w:rsidR="00D52295" w:rsidRPr="00D52295" w:rsidRDefault="004B26EC" w:rsidP="004B26EC">
      <w:pPr>
        <w:rPr>
          <w:rFonts w:ascii="新細明體" w:hAnsi="新細明體"/>
          <w:szCs w:val="24"/>
        </w:rPr>
      </w:pPr>
      <w:r w:rsidRPr="00D52295">
        <w:rPr>
          <w:rFonts w:ascii="新細明體" w:hAnsi="新細明體"/>
          <w:szCs w:val="24"/>
        </w:rPr>
        <w:t>(</w:t>
      </w:r>
      <w:r w:rsidR="004A113E" w:rsidRPr="00D52295">
        <w:rPr>
          <w:rFonts w:ascii="新細明體" w:hAnsi="新細明體" w:hint="eastAsia"/>
          <w:szCs w:val="24"/>
        </w:rPr>
        <w:t>4</w:t>
      </w:r>
      <w:r w:rsidR="004A113E" w:rsidRPr="00D52295">
        <w:rPr>
          <w:rFonts w:ascii="新細明體" w:hAnsi="新細明體"/>
          <w:szCs w:val="24"/>
        </w:rPr>
        <w:t>)</w:t>
      </w:r>
      <w:r w:rsidR="00D52295" w:rsidRPr="00D52295">
        <w:rPr>
          <w:rFonts w:ascii="新細明體" w:hAnsi="新細明體"/>
          <w:szCs w:val="24"/>
        </w:rPr>
        <w:t xml:space="preserve"> The company has revised the "Administrative Measures for the Prevention of Insider Trading" on November 7, 2022, which stipulates that directors are not allowed to trade their stocks during the closed period of thirty days before the announcement of the annual financial report and fifteen days before the announcement of the quarterly financial report.</w:t>
      </w:r>
    </w:p>
    <w:p w:rsidR="00D52295" w:rsidRDefault="005C1EBA" w:rsidP="004B26EC">
      <w:pPr>
        <w:rPr>
          <w:rFonts w:ascii="新細明體" w:hAnsi="新細明體"/>
          <w:szCs w:val="24"/>
        </w:rPr>
      </w:pPr>
      <w:r w:rsidRPr="00D52295">
        <w:rPr>
          <w:rFonts w:ascii="新細明體" w:hAnsi="新細明體" w:hint="eastAsia"/>
          <w:szCs w:val="24"/>
        </w:rPr>
        <w:t>(5)</w:t>
      </w:r>
      <w:r w:rsidR="00D52295" w:rsidRPr="00D52295">
        <w:rPr>
          <w:rFonts w:ascii="新細明體" w:hAnsi="新細明體"/>
          <w:szCs w:val="24"/>
        </w:rPr>
        <w:t xml:space="preserve"> </w:t>
      </w:r>
      <w:r w:rsidR="00882357" w:rsidRPr="00882357">
        <w:rPr>
          <w:rFonts w:ascii="新細明體" w:hAnsi="新細明體"/>
          <w:szCs w:val="24"/>
        </w:rPr>
        <w:t xml:space="preserve">The company notified the directors by email on </w:t>
      </w:r>
      <w:r w:rsidR="00000BF2" w:rsidRPr="00000BF2">
        <w:rPr>
          <w:rFonts w:ascii="新細明體" w:hAnsi="新細明體"/>
          <w:szCs w:val="24"/>
        </w:rPr>
        <w:t>November</w:t>
      </w:r>
      <w:r w:rsidR="00882357" w:rsidRPr="00882357">
        <w:rPr>
          <w:rFonts w:ascii="新細明體" w:hAnsi="新細明體"/>
          <w:szCs w:val="24"/>
        </w:rPr>
        <w:t xml:space="preserve"> 7, 202</w:t>
      </w:r>
      <w:r w:rsidR="00000BF2">
        <w:rPr>
          <w:rFonts w:ascii="新細明體" w:hAnsi="新細明體" w:hint="eastAsia"/>
          <w:szCs w:val="24"/>
        </w:rPr>
        <w:t>3</w:t>
      </w:r>
      <w:r w:rsidR="00882357" w:rsidRPr="00882357">
        <w:rPr>
          <w:rFonts w:ascii="新細明體" w:hAnsi="新細明體"/>
          <w:szCs w:val="24"/>
        </w:rPr>
        <w:t>, of the 202</w:t>
      </w:r>
      <w:r w:rsidR="00000BF2">
        <w:rPr>
          <w:rFonts w:ascii="新細明體" w:hAnsi="新細明體" w:hint="eastAsia"/>
          <w:szCs w:val="24"/>
        </w:rPr>
        <w:t>4</w:t>
      </w:r>
      <w:r w:rsidR="00882357" w:rsidRPr="00882357">
        <w:rPr>
          <w:rFonts w:ascii="新細明體" w:hAnsi="新細明體"/>
          <w:szCs w:val="24"/>
        </w:rPr>
        <w:t xml:space="preserve"> board meeting schedule (6 times in total), as well as the closed period before the announcement of each quarter's financial report, to assist the directors in implementing corporate governance standards, and the closed period before the announcement of the financial report. Trading of its shares will be suspended during this period.</w:t>
      </w:r>
    </w:p>
    <w:p w:rsidR="00882357" w:rsidRDefault="00882357" w:rsidP="004B26EC">
      <w:pPr>
        <w:rPr>
          <w:rFonts w:ascii="新細明體" w:hAnsi="新細明體"/>
          <w:szCs w:val="24"/>
        </w:rPr>
      </w:pPr>
      <w:r w:rsidRPr="00882357">
        <w:rPr>
          <w:rFonts w:ascii="新細明體" w:hAnsi="新細明體"/>
          <w:szCs w:val="24"/>
        </w:rPr>
        <w:t>Notice during the closed period before the announcement of the company's annual financial report and quarterly financial report:</w:t>
      </w:r>
    </w:p>
    <w:p w:rsidR="00882357" w:rsidRDefault="00882357" w:rsidP="004B26EC">
      <w:pPr>
        <w:rPr>
          <w:rFonts w:ascii="新細明體" w:hAnsi="新細明體"/>
          <w:szCs w:val="24"/>
        </w:rPr>
      </w:pPr>
    </w:p>
    <w:tbl>
      <w:tblPr>
        <w:tblStyle w:val="a5"/>
        <w:tblW w:w="9039" w:type="dxa"/>
        <w:tblLook w:val="04A0" w:firstRow="1" w:lastRow="0" w:firstColumn="1" w:lastColumn="0" w:noHBand="0" w:noVBand="1"/>
      </w:tblPr>
      <w:tblGrid>
        <w:gridCol w:w="1124"/>
        <w:gridCol w:w="1252"/>
        <w:gridCol w:w="2410"/>
        <w:gridCol w:w="4253"/>
      </w:tblGrid>
      <w:tr w:rsidR="00882357" w:rsidTr="00882357">
        <w:tc>
          <w:tcPr>
            <w:tcW w:w="1124" w:type="dxa"/>
            <w:vMerge w:val="restart"/>
            <w:vAlign w:val="center"/>
          </w:tcPr>
          <w:p w:rsidR="00882357" w:rsidRPr="00DE3593" w:rsidRDefault="00882357" w:rsidP="00C67946">
            <w:pPr>
              <w:rPr>
                <w:rFonts w:asciiTheme="minorEastAsia" w:eastAsiaTheme="minorEastAsia" w:hAnsiTheme="minorEastAsia"/>
                <w:sz w:val="20"/>
                <w:szCs w:val="20"/>
              </w:rPr>
            </w:pPr>
            <w:r w:rsidRPr="00882357">
              <w:rPr>
                <w:rFonts w:asciiTheme="minorEastAsia" w:eastAsiaTheme="minorEastAsia" w:hAnsiTheme="minorEastAsia"/>
                <w:sz w:val="20"/>
                <w:szCs w:val="20"/>
              </w:rPr>
              <w:t>Notification date</w:t>
            </w:r>
          </w:p>
        </w:tc>
        <w:tc>
          <w:tcPr>
            <w:tcW w:w="3662" w:type="dxa"/>
            <w:gridSpan w:val="2"/>
            <w:vAlign w:val="center"/>
          </w:tcPr>
          <w:p w:rsidR="00882357" w:rsidRPr="00DE3593" w:rsidRDefault="00882357" w:rsidP="00C67946">
            <w:pPr>
              <w:jc w:val="center"/>
              <w:rPr>
                <w:rFonts w:asciiTheme="minorEastAsia" w:eastAsiaTheme="minorEastAsia" w:hAnsiTheme="minorEastAsia"/>
                <w:sz w:val="20"/>
                <w:szCs w:val="20"/>
              </w:rPr>
            </w:pPr>
            <w:r w:rsidRPr="00882357">
              <w:rPr>
                <w:rFonts w:asciiTheme="minorEastAsia" w:eastAsiaTheme="minorEastAsia" w:hAnsiTheme="minorEastAsia"/>
                <w:sz w:val="20"/>
                <w:szCs w:val="20"/>
              </w:rPr>
              <w:t>Board of Directors</w:t>
            </w:r>
          </w:p>
        </w:tc>
        <w:tc>
          <w:tcPr>
            <w:tcW w:w="4253" w:type="dxa"/>
            <w:vMerge w:val="restart"/>
            <w:vAlign w:val="center"/>
          </w:tcPr>
          <w:p w:rsidR="00882357" w:rsidRPr="00DE3593" w:rsidRDefault="00882357" w:rsidP="00C67946">
            <w:pPr>
              <w:jc w:val="center"/>
              <w:rPr>
                <w:rFonts w:asciiTheme="minorEastAsia" w:eastAsiaTheme="minorEastAsia" w:hAnsiTheme="minorEastAsia"/>
                <w:sz w:val="20"/>
                <w:szCs w:val="20"/>
              </w:rPr>
            </w:pPr>
            <w:r w:rsidRPr="00882357">
              <w:rPr>
                <w:rFonts w:asciiTheme="minorEastAsia" w:eastAsiaTheme="minorEastAsia" w:hAnsiTheme="minorEastAsia"/>
                <w:sz w:val="20"/>
                <w:szCs w:val="20"/>
              </w:rPr>
              <w:t>Remark</w:t>
            </w:r>
          </w:p>
        </w:tc>
      </w:tr>
      <w:tr w:rsidR="00882357" w:rsidTr="00882357">
        <w:tc>
          <w:tcPr>
            <w:tcW w:w="1124" w:type="dxa"/>
            <w:vMerge/>
            <w:vAlign w:val="center"/>
          </w:tcPr>
          <w:p w:rsidR="00882357" w:rsidRPr="00DE3593" w:rsidRDefault="00882357" w:rsidP="00C67946">
            <w:pPr>
              <w:rPr>
                <w:rFonts w:asciiTheme="minorEastAsia" w:eastAsiaTheme="minorEastAsia" w:hAnsiTheme="minorEastAsia"/>
                <w:sz w:val="20"/>
                <w:szCs w:val="20"/>
              </w:rPr>
            </w:pPr>
          </w:p>
        </w:tc>
        <w:tc>
          <w:tcPr>
            <w:tcW w:w="1252" w:type="dxa"/>
            <w:vAlign w:val="center"/>
          </w:tcPr>
          <w:p w:rsidR="00882357" w:rsidRPr="00DE3593" w:rsidRDefault="00882357" w:rsidP="00C67946">
            <w:pPr>
              <w:jc w:val="center"/>
              <w:rPr>
                <w:rFonts w:asciiTheme="minorEastAsia" w:eastAsiaTheme="minorEastAsia" w:hAnsiTheme="minorEastAsia"/>
                <w:sz w:val="20"/>
                <w:szCs w:val="20"/>
              </w:rPr>
            </w:pPr>
            <w:r w:rsidRPr="00882357">
              <w:rPr>
                <w:rFonts w:asciiTheme="minorEastAsia" w:eastAsiaTheme="minorEastAsia" w:hAnsiTheme="minorEastAsia"/>
                <w:sz w:val="20"/>
                <w:szCs w:val="20"/>
              </w:rPr>
              <w:t>meeting date</w:t>
            </w:r>
          </w:p>
        </w:tc>
        <w:tc>
          <w:tcPr>
            <w:tcW w:w="2410" w:type="dxa"/>
            <w:vAlign w:val="center"/>
          </w:tcPr>
          <w:p w:rsidR="00882357" w:rsidRPr="00DE3593" w:rsidRDefault="00882357" w:rsidP="00C67946">
            <w:pPr>
              <w:jc w:val="center"/>
              <w:rPr>
                <w:rFonts w:asciiTheme="minorEastAsia" w:eastAsiaTheme="minorEastAsia" w:hAnsiTheme="minorEastAsia"/>
                <w:sz w:val="20"/>
                <w:szCs w:val="20"/>
              </w:rPr>
            </w:pPr>
            <w:r w:rsidRPr="00882357">
              <w:rPr>
                <w:rFonts w:asciiTheme="minorEastAsia" w:eastAsiaTheme="minorEastAsia" w:hAnsiTheme="minorEastAsia"/>
                <w:sz w:val="20"/>
                <w:szCs w:val="20"/>
              </w:rPr>
              <w:t>session</w:t>
            </w:r>
          </w:p>
        </w:tc>
        <w:tc>
          <w:tcPr>
            <w:tcW w:w="4253" w:type="dxa"/>
            <w:vMerge/>
            <w:vAlign w:val="center"/>
          </w:tcPr>
          <w:p w:rsidR="00882357" w:rsidRPr="00DE3593" w:rsidRDefault="00882357" w:rsidP="00C67946">
            <w:pPr>
              <w:rPr>
                <w:rFonts w:asciiTheme="minorEastAsia" w:eastAsiaTheme="minorEastAsia" w:hAnsiTheme="minorEastAsia"/>
                <w:sz w:val="20"/>
                <w:szCs w:val="20"/>
              </w:rPr>
            </w:pPr>
          </w:p>
        </w:tc>
      </w:tr>
      <w:tr w:rsidR="00882357" w:rsidTr="00882357">
        <w:tc>
          <w:tcPr>
            <w:tcW w:w="1124" w:type="dxa"/>
            <w:vAlign w:val="center"/>
          </w:tcPr>
          <w:p w:rsidR="00882357" w:rsidRPr="00DE3593" w:rsidRDefault="00882357" w:rsidP="00C67946">
            <w:pPr>
              <w:rPr>
                <w:rFonts w:asciiTheme="minorEastAsia" w:eastAsiaTheme="minorEastAsia" w:hAnsiTheme="minorEastAsia"/>
                <w:sz w:val="20"/>
                <w:szCs w:val="20"/>
              </w:rPr>
            </w:pPr>
            <w:bookmarkStart w:id="0" w:name="_GoBack"/>
            <w:bookmarkEnd w:id="0"/>
            <w:r w:rsidRPr="00DE3593">
              <w:rPr>
                <w:rFonts w:asciiTheme="minorEastAsia" w:eastAsiaTheme="minorEastAsia" w:hAnsiTheme="minorEastAsia" w:hint="eastAsia"/>
                <w:sz w:val="20"/>
                <w:szCs w:val="20"/>
              </w:rPr>
              <w:t>2024/1/3</w:t>
            </w:r>
          </w:p>
        </w:tc>
        <w:tc>
          <w:tcPr>
            <w:tcW w:w="1252" w:type="dxa"/>
            <w:vAlign w:val="center"/>
          </w:tcPr>
          <w:p w:rsidR="00882357" w:rsidRPr="00DE3593" w:rsidRDefault="00882357" w:rsidP="00C67946">
            <w:pPr>
              <w:rPr>
                <w:rFonts w:asciiTheme="minorEastAsia" w:eastAsiaTheme="minorEastAsia" w:hAnsiTheme="minorEastAsia"/>
                <w:sz w:val="20"/>
                <w:szCs w:val="20"/>
              </w:rPr>
            </w:pPr>
            <w:r w:rsidRPr="00DE3593">
              <w:rPr>
                <w:rFonts w:asciiTheme="minorEastAsia" w:eastAsiaTheme="minorEastAsia" w:hAnsiTheme="minorEastAsia" w:hint="eastAsia"/>
                <w:sz w:val="20"/>
                <w:szCs w:val="20"/>
              </w:rPr>
              <w:t>2024/2/23</w:t>
            </w:r>
          </w:p>
        </w:tc>
        <w:tc>
          <w:tcPr>
            <w:tcW w:w="2410" w:type="dxa"/>
          </w:tcPr>
          <w:p w:rsidR="00882357" w:rsidRPr="00DE3593" w:rsidRDefault="00882357" w:rsidP="00C67946">
            <w:pPr>
              <w:rPr>
                <w:rFonts w:asciiTheme="minorEastAsia" w:eastAsiaTheme="minorEastAsia" w:hAnsiTheme="minorEastAsia"/>
                <w:sz w:val="20"/>
                <w:szCs w:val="20"/>
              </w:rPr>
            </w:pPr>
            <w:r>
              <w:rPr>
                <w:rFonts w:asciiTheme="minorEastAsia" w:eastAsiaTheme="minorEastAsia" w:hAnsiTheme="minorEastAsia"/>
                <w:sz w:val="20"/>
                <w:szCs w:val="20"/>
              </w:rPr>
              <w:t xml:space="preserve">The </w:t>
            </w:r>
            <w:r>
              <w:rPr>
                <w:rFonts w:asciiTheme="minorEastAsia" w:eastAsiaTheme="minorEastAsia" w:hAnsiTheme="minorEastAsia" w:hint="eastAsia"/>
                <w:sz w:val="20"/>
                <w:szCs w:val="20"/>
              </w:rPr>
              <w:t>3</w:t>
            </w:r>
            <w:r w:rsidRPr="00882357">
              <w:rPr>
                <w:rFonts w:asciiTheme="minorEastAsia" w:eastAsiaTheme="minorEastAsia" w:hAnsiTheme="minorEastAsia"/>
                <w:sz w:val="20"/>
                <w:szCs w:val="20"/>
              </w:rPr>
              <w:t>nd meeting of the 9th Board of Directors</w:t>
            </w:r>
          </w:p>
        </w:tc>
        <w:tc>
          <w:tcPr>
            <w:tcW w:w="4253" w:type="dxa"/>
            <w:vAlign w:val="center"/>
          </w:tcPr>
          <w:p w:rsidR="00882357" w:rsidRPr="00DE3593" w:rsidRDefault="00882357" w:rsidP="009F78D1">
            <w:pPr>
              <w:rPr>
                <w:rFonts w:asciiTheme="minorEastAsia" w:eastAsiaTheme="minorEastAsia" w:hAnsiTheme="minorEastAsia"/>
                <w:sz w:val="20"/>
                <w:szCs w:val="20"/>
              </w:rPr>
            </w:pPr>
            <w:r w:rsidRPr="00882357">
              <w:rPr>
                <w:rFonts w:asciiTheme="minorEastAsia" w:eastAsiaTheme="minorEastAsia" w:hAnsiTheme="minorEastAsia"/>
                <w:sz w:val="20"/>
                <w:szCs w:val="20"/>
              </w:rPr>
              <w:t>Submit the company's 2023 financial statements</w:t>
            </w:r>
          </w:p>
        </w:tc>
      </w:tr>
      <w:tr w:rsidR="00000BF2" w:rsidTr="00882357">
        <w:tc>
          <w:tcPr>
            <w:tcW w:w="1124"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2024/4</w:t>
            </w:r>
            <w:r w:rsidRPr="00DE3593">
              <w:rPr>
                <w:rFonts w:asciiTheme="minorEastAsia" w:eastAsiaTheme="minorEastAsia" w:hAnsiTheme="minorEastAsia" w:hint="eastAsia"/>
                <w:sz w:val="20"/>
                <w:szCs w:val="20"/>
              </w:rPr>
              <w:t>/3</w:t>
            </w:r>
          </w:p>
        </w:tc>
        <w:tc>
          <w:tcPr>
            <w:tcW w:w="1252"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2024/5/13</w:t>
            </w:r>
          </w:p>
        </w:tc>
        <w:tc>
          <w:tcPr>
            <w:tcW w:w="2410" w:type="dxa"/>
          </w:tcPr>
          <w:p w:rsidR="00000BF2" w:rsidRDefault="00000BF2" w:rsidP="00BD2A5A">
            <w:r w:rsidRPr="00000BF2">
              <w:rPr>
                <w:rFonts w:asciiTheme="minorEastAsia" w:eastAsiaTheme="minorEastAsia" w:hAnsiTheme="minorEastAsia"/>
                <w:sz w:val="20"/>
                <w:szCs w:val="20"/>
              </w:rPr>
              <w:t xml:space="preserve">The </w:t>
            </w:r>
            <w:r>
              <w:rPr>
                <w:rFonts w:asciiTheme="minorEastAsia" w:eastAsiaTheme="minorEastAsia" w:hAnsiTheme="minorEastAsia" w:hint="eastAsia"/>
                <w:sz w:val="20"/>
                <w:szCs w:val="20"/>
              </w:rPr>
              <w:t>6</w:t>
            </w:r>
            <w:r w:rsidRPr="00000BF2">
              <w:rPr>
                <w:rFonts w:asciiTheme="minorEastAsia" w:eastAsiaTheme="minorEastAsia" w:hAnsiTheme="minorEastAsia"/>
                <w:sz w:val="20"/>
                <w:szCs w:val="20"/>
              </w:rPr>
              <w:t>nd meeting of the 9th Board of Directors</w:t>
            </w:r>
          </w:p>
        </w:tc>
        <w:tc>
          <w:tcPr>
            <w:tcW w:w="4253" w:type="dxa"/>
            <w:vAlign w:val="center"/>
          </w:tcPr>
          <w:p w:rsidR="00000BF2" w:rsidRPr="00DE3593" w:rsidRDefault="00000BF2" w:rsidP="00BD2A5A">
            <w:pPr>
              <w:rPr>
                <w:rFonts w:asciiTheme="minorEastAsia" w:eastAsiaTheme="minorEastAsia" w:hAnsiTheme="minorEastAsia"/>
                <w:sz w:val="20"/>
                <w:szCs w:val="20"/>
              </w:rPr>
            </w:pPr>
            <w:r w:rsidRPr="00000BF2">
              <w:rPr>
                <w:rFonts w:asciiTheme="minorEastAsia" w:eastAsiaTheme="minorEastAsia" w:hAnsiTheme="minorEastAsia"/>
                <w:sz w:val="20"/>
                <w:szCs w:val="20"/>
              </w:rPr>
              <w:t>Submission of the company's financial statements for the first quarter of 202</w:t>
            </w:r>
            <w:r>
              <w:rPr>
                <w:rFonts w:asciiTheme="minorEastAsia" w:eastAsiaTheme="minorEastAsia" w:hAnsiTheme="minorEastAsia" w:hint="eastAsia"/>
                <w:sz w:val="20"/>
                <w:szCs w:val="20"/>
              </w:rPr>
              <w:t>4</w:t>
            </w:r>
          </w:p>
        </w:tc>
      </w:tr>
      <w:tr w:rsidR="00000BF2" w:rsidTr="00882357">
        <w:tc>
          <w:tcPr>
            <w:tcW w:w="1124"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2024/</w:t>
            </w:r>
            <w:r>
              <w:rPr>
                <w:rFonts w:asciiTheme="minorEastAsia" w:eastAsiaTheme="minorEastAsia" w:hAnsiTheme="minorEastAsia" w:hint="eastAsia"/>
                <w:sz w:val="20"/>
                <w:szCs w:val="20"/>
              </w:rPr>
              <w:t>7</w:t>
            </w:r>
            <w:r w:rsidRPr="00DE359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w:t>
            </w:r>
          </w:p>
        </w:tc>
        <w:tc>
          <w:tcPr>
            <w:tcW w:w="1252"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2024/8/12</w:t>
            </w:r>
          </w:p>
        </w:tc>
        <w:tc>
          <w:tcPr>
            <w:tcW w:w="2410" w:type="dxa"/>
          </w:tcPr>
          <w:p w:rsidR="00000BF2" w:rsidRDefault="00000BF2" w:rsidP="00BD2A5A">
            <w:r w:rsidRPr="00000BF2">
              <w:rPr>
                <w:rFonts w:asciiTheme="minorEastAsia" w:eastAsiaTheme="minorEastAsia" w:hAnsiTheme="minorEastAsia"/>
                <w:sz w:val="20"/>
                <w:szCs w:val="20"/>
              </w:rPr>
              <w:t xml:space="preserve">The </w:t>
            </w:r>
            <w:r>
              <w:rPr>
                <w:rFonts w:asciiTheme="minorEastAsia" w:eastAsiaTheme="minorEastAsia" w:hAnsiTheme="minorEastAsia" w:hint="eastAsia"/>
                <w:sz w:val="20"/>
                <w:szCs w:val="20"/>
              </w:rPr>
              <w:t>8</w:t>
            </w:r>
            <w:r w:rsidRPr="00000BF2">
              <w:rPr>
                <w:rFonts w:asciiTheme="minorEastAsia" w:eastAsiaTheme="minorEastAsia" w:hAnsiTheme="minorEastAsia"/>
                <w:sz w:val="20"/>
                <w:szCs w:val="20"/>
              </w:rPr>
              <w:t>nd meeting of the 9th Board of Directors</w:t>
            </w:r>
          </w:p>
        </w:tc>
        <w:tc>
          <w:tcPr>
            <w:tcW w:w="4253" w:type="dxa"/>
            <w:vAlign w:val="center"/>
          </w:tcPr>
          <w:p w:rsidR="00000BF2" w:rsidRPr="00DE3593" w:rsidRDefault="00000BF2" w:rsidP="00BD2A5A">
            <w:pPr>
              <w:rPr>
                <w:rFonts w:asciiTheme="minorEastAsia" w:eastAsiaTheme="minorEastAsia" w:hAnsiTheme="minorEastAsia"/>
                <w:sz w:val="20"/>
                <w:szCs w:val="20"/>
              </w:rPr>
            </w:pPr>
            <w:r w:rsidRPr="00000BF2">
              <w:rPr>
                <w:rFonts w:asciiTheme="minorEastAsia" w:eastAsiaTheme="minorEastAsia" w:hAnsiTheme="minorEastAsia"/>
                <w:sz w:val="20"/>
                <w:szCs w:val="20"/>
              </w:rPr>
              <w:t>Submission of the company's financial statements for the second quarter of 202</w:t>
            </w:r>
            <w:r>
              <w:rPr>
                <w:rFonts w:asciiTheme="minorEastAsia" w:eastAsiaTheme="minorEastAsia" w:hAnsiTheme="minorEastAsia" w:hint="eastAsia"/>
                <w:sz w:val="20"/>
                <w:szCs w:val="20"/>
              </w:rPr>
              <w:t>4</w:t>
            </w:r>
          </w:p>
        </w:tc>
      </w:tr>
      <w:tr w:rsidR="00000BF2" w:rsidTr="00882357">
        <w:tc>
          <w:tcPr>
            <w:tcW w:w="1124" w:type="dxa"/>
            <w:vAlign w:val="center"/>
          </w:tcPr>
          <w:p w:rsidR="00000BF2" w:rsidRPr="00DE3593" w:rsidRDefault="00000BF2" w:rsidP="00BD2A5A">
            <w:pPr>
              <w:rPr>
                <w:rFonts w:asciiTheme="minorEastAsia" w:eastAsiaTheme="minorEastAsia" w:hAnsiTheme="minorEastAsia"/>
                <w:sz w:val="20"/>
                <w:szCs w:val="20"/>
              </w:rPr>
            </w:pPr>
            <w:r w:rsidRPr="00DE3593">
              <w:rPr>
                <w:rFonts w:asciiTheme="minorEastAsia" w:eastAsiaTheme="minorEastAsia" w:hAnsiTheme="minorEastAsia" w:hint="eastAsia"/>
                <w:sz w:val="20"/>
                <w:szCs w:val="20"/>
              </w:rPr>
              <w:t>202</w:t>
            </w:r>
            <w:r>
              <w:rPr>
                <w:rFonts w:asciiTheme="minorEastAsia" w:eastAsiaTheme="minorEastAsia" w:hAnsiTheme="minorEastAsia" w:hint="eastAsia"/>
                <w:sz w:val="20"/>
                <w:szCs w:val="20"/>
              </w:rPr>
              <w:t>4/10/4</w:t>
            </w:r>
          </w:p>
        </w:tc>
        <w:tc>
          <w:tcPr>
            <w:tcW w:w="1252"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2024/11/11</w:t>
            </w:r>
          </w:p>
        </w:tc>
        <w:tc>
          <w:tcPr>
            <w:tcW w:w="2410" w:type="dxa"/>
          </w:tcPr>
          <w:p w:rsidR="00000BF2" w:rsidRDefault="00000BF2" w:rsidP="00000BF2">
            <w:r w:rsidRPr="00000BF2">
              <w:rPr>
                <w:rFonts w:asciiTheme="minorEastAsia" w:eastAsiaTheme="minorEastAsia" w:hAnsiTheme="minorEastAsia"/>
                <w:sz w:val="20"/>
                <w:szCs w:val="20"/>
              </w:rPr>
              <w:t xml:space="preserve">The </w:t>
            </w:r>
            <w:r>
              <w:rPr>
                <w:rFonts w:asciiTheme="minorEastAsia" w:eastAsiaTheme="minorEastAsia" w:hAnsiTheme="minorEastAsia" w:hint="eastAsia"/>
                <w:sz w:val="20"/>
                <w:szCs w:val="20"/>
              </w:rPr>
              <w:t>9</w:t>
            </w:r>
            <w:r w:rsidRPr="00000BF2">
              <w:rPr>
                <w:rFonts w:asciiTheme="minorEastAsia" w:eastAsiaTheme="minorEastAsia" w:hAnsiTheme="minorEastAsia"/>
                <w:sz w:val="20"/>
                <w:szCs w:val="20"/>
              </w:rPr>
              <w:t>nd meeting of the 9th Board of Directors</w:t>
            </w:r>
          </w:p>
        </w:tc>
        <w:tc>
          <w:tcPr>
            <w:tcW w:w="4253" w:type="dxa"/>
            <w:vAlign w:val="center"/>
          </w:tcPr>
          <w:p w:rsidR="00000BF2" w:rsidRPr="00DE3593" w:rsidRDefault="00000BF2" w:rsidP="00BD2A5A">
            <w:pPr>
              <w:rPr>
                <w:rFonts w:asciiTheme="minorEastAsia" w:eastAsiaTheme="minorEastAsia" w:hAnsiTheme="minorEastAsia"/>
                <w:sz w:val="20"/>
                <w:szCs w:val="20"/>
              </w:rPr>
            </w:pPr>
            <w:r w:rsidRPr="00000BF2">
              <w:rPr>
                <w:rFonts w:asciiTheme="minorEastAsia" w:eastAsiaTheme="minorEastAsia" w:hAnsiTheme="minorEastAsia"/>
                <w:sz w:val="20"/>
                <w:szCs w:val="20"/>
              </w:rPr>
              <w:t>Submission of the company's financial statements for the third quarter of 202</w:t>
            </w:r>
            <w:r>
              <w:rPr>
                <w:rFonts w:asciiTheme="minorEastAsia" w:eastAsiaTheme="minorEastAsia" w:hAnsiTheme="minorEastAsia" w:hint="eastAsia"/>
                <w:sz w:val="20"/>
                <w:szCs w:val="20"/>
              </w:rPr>
              <w:t>4</w:t>
            </w:r>
          </w:p>
        </w:tc>
      </w:tr>
      <w:tr w:rsidR="00000BF2" w:rsidTr="00882357">
        <w:tc>
          <w:tcPr>
            <w:tcW w:w="1124" w:type="dxa"/>
            <w:vAlign w:val="center"/>
          </w:tcPr>
          <w:p w:rsidR="00000BF2" w:rsidRPr="00DE3593" w:rsidRDefault="00000BF2" w:rsidP="00BD2A5A">
            <w:pPr>
              <w:rPr>
                <w:rFonts w:asciiTheme="minorEastAsia" w:eastAsiaTheme="minorEastAsia" w:hAnsiTheme="minorEastAsia" w:hint="eastAsia"/>
                <w:sz w:val="20"/>
                <w:szCs w:val="20"/>
              </w:rPr>
            </w:pPr>
            <w:r w:rsidRPr="00A664D3">
              <w:rPr>
                <w:rFonts w:asciiTheme="minorEastAsia" w:eastAsiaTheme="minorEastAsia" w:hAnsiTheme="minorEastAsia"/>
                <w:sz w:val="20"/>
                <w:szCs w:val="20"/>
              </w:rPr>
              <w:t>202</w:t>
            </w:r>
            <w:r>
              <w:rPr>
                <w:rFonts w:asciiTheme="minorEastAsia" w:eastAsiaTheme="minorEastAsia" w:hAnsiTheme="minorEastAsia" w:hint="eastAsia"/>
                <w:sz w:val="20"/>
                <w:szCs w:val="20"/>
              </w:rPr>
              <w:t>5</w:t>
            </w:r>
            <w:r w:rsidRPr="00A664D3">
              <w:rPr>
                <w:rFonts w:asciiTheme="minorEastAsia" w:eastAsiaTheme="minorEastAsia" w:hAnsiTheme="minorEastAsia"/>
                <w:sz w:val="20"/>
                <w:szCs w:val="20"/>
              </w:rPr>
              <w:t>/1</w:t>
            </w:r>
            <w:r>
              <w:rPr>
                <w:rFonts w:asciiTheme="minorEastAsia" w:eastAsiaTheme="minorEastAsia" w:hAnsiTheme="minorEastAsia"/>
                <w:sz w:val="20"/>
                <w:szCs w:val="20"/>
              </w:rPr>
              <w:t>/</w:t>
            </w:r>
            <w:r>
              <w:rPr>
                <w:rFonts w:asciiTheme="minorEastAsia" w:eastAsiaTheme="minorEastAsia" w:hAnsiTheme="minorEastAsia" w:hint="eastAsia"/>
                <w:sz w:val="20"/>
                <w:szCs w:val="20"/>
              </w:rPr>
              <w:t>3</w:t>
            </w:r>
          </w:p>
        </w:tc>
        <w:tc>
          <w:tcPr>
            <w:tcW w:w="1252" w:type="dxa"/>
            <w:vAlign w:val="center"/>
          </w:tcPr>
          <w:p w:rsidR="00000BF2" w:rsidRPr="00DE3593" w:rsidRDefault="00000BF2" w:rsidP="00BD2A5A">
            <w:pP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2025/2/21</w:t>
            </w:r>
          </w:p>
        </w:tc>
        <w:tc>
          <w:tcPr>
            <w:tcW w:w="2410" w:type="dxa"/>
          </w:tcPr>
          <w:p w:rsidR="00000BF2" w:rsidRPr="00DE3593" w:rsidRDefault="00000BF2" w:rsidP="00BD2A5A">
            <w:pPr>
              <w:rPr>
                <w:rFonts w:asciiTheme="minorEastAsia" w:eastAsiaTheme="minorEastAsia" w:hAnsiTheme="minorEastAsia" w:hint="eastAsia"/>
                <w:sz w:val="20"/>
                <w:szCs w:val="20"/>
              </w:rPr>
            </w:pPr>
            <w:r w:rsidRPr="00000BF2">
              <w:rPr>
                <w:rFonts w:asciiTheme="minorEastAsia" w:eastAsiaTheme="minorEastAsia" w:hAnsiTheme="minorEastAsia"/>
                <w:sz w:val="20"/>
                <w:szCs w:val="20"/>
              </w:rPr>
              <w:t xml:space="preserve">The </w:t>
            </w:r>
            <w:r>
              <w:rPr>
                <w:rFonts w:asciiTheme="minorEastAsia" w:eastAsiaTheme="minorEastAsia" w:hAnsiTheme="minorEastAsia" w:hint="eastAsia"/>
                <w:sz w:val="20"/>
                <w:szCs w:val="20"/>
              </w:rPr>
              <w:t>11</w:t>
            </w:r>
            <w:r w:rsidRPr="00000BF2">
              <w:rPr>
                <w:rFonts w:asciiTheme="minorEastAsia" w:eastAsiaTheme="minorEastAsia" w:hAnsiTheme="minorEastAsia"/>
                <w:sz w:val="20"/>
                <w:szCs w:val="20"/>
              </w:rPr>
              <w:t>nd meeting of the 9th Board of Directors</w:t>
            </w:r>
          </w:p>
        </w:tc>
        <w:tc>
          <w:tcPr>
            <w:tcW w:w="4253" w:type="dxa"/>
            <w:vAlign w:val="center"/>
          </w:tcPr>
          <w:p w:rsidR="00000BF2" w:rsidRPr="00DE3593" w:rsidRDefault="00000BF2" w:rsidP="00000BF2">
            <w:pPr>
              <w:rPr>
                <w:rFonts w:asciiTheme="minorEastAsia" w:eastAsiaTheme="minorEastAsia" w:hAnsiTheme="minorEastAsia" w:hint="eastAsia"/>
                <w:sz w:val="20"/>
                <w:szCs w:val="20"/>
              </w:rPr>
            </w:pPr>
            <w:r w:rsidRPr="00000BF2">
              <w:rPr>
                <w:rFonts w:asciiTheme="minorEastAsia" w:eastAsiaTheme="minorEastAsia" w:hAnsiTheme="minorEastAsia"/>
                <w:sz w:val="20"/>
                <w:szCs w:val="20"/>
              </w:rPr>
              <w:t>Submit the company's 202</w:t>
            </w:r>
            <w:r>
              <w:rPr>
                <w:rFonts w:asciiTheme="minorEastAsia" w:eastAsiaTheme="minorEastAsia" w:hAnsiTheme="minorEastAsia" w:hint="eastAsia"/>
                <w:sz w:val="20"/>
                <w:szCs w:val="20"/>
              </w:rPr>
              <w:t>4</w:t>
            </w:r>
            <w:r w:rsidRPr="00000BF2">
              <w:rPr>
                <w:rFonts w:asciiTheme="minorEastAsia" w:eastAsiaTheme="minorEastAsia" w:hAnsiTheme="minorEastAsia"/>
                <w:sz w:val="20"/>
                <w:szCs w:val="20"/>
              </w:rPr>
              <w:t xml:space="preserve"> financial statements</w:t>
            </w:r>
          </w:p>
        </w:tc>
      </w:tr>
    </w:tbl>
    <w:p w:rsidR="00882357" w:rsidRPr="00882357" w:rsidRDefault="00882357" w:rsidP="004B26EC">
      <w:pPr>
        <w:rPr>
          <w:rFonts w:ascii="新細明體" w:hAnsi="新細明體"/>
          <w:szCs w:val="24"/>
        </w:rPr>
      </w:pPr>
    </w:p>
    <w:p w:rsidR="00882357" w:rsidRPr="00000BF2" w:rsidRDefault="00882357" w:rsidP="004B26EC">
      <w:pPr>
        <w:rPr>
          <w:rFonts w:ascii="新細明體" w:hAnsi="新細明體"/>
          <w:szCs w:val="24"/>
        </w:rPr>
      </w:pPr>
    </w:p>
    <w:sectPr w:rsidR="00882357" w:rsidRPr="00000B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6E"/>
    <w:rsid w:val="00000BF2"/>
    <w:rsid w:val="0015556E"/>
    <w:rsid w:val="001A5DB0"/>
    <w:rsid w:val="002B3B0E"/>
    <w:rsid w:val="003A26CF"/>
    <w:rsid w:val="004A113E"/>
    <w:rsid w:val="004B26EC"/>
    <w:rsid w:val="00512BD3"/>
    <w:rsid w:val="005C1EBA"/>
    <w:rsid w:val="00882357"/>
    <w:rsid w:val="008F33FE"/>
    <w:rsid w:val="009F78D1"/>
    <w:rsid w:val="00AF1485"/>
    <w:rsid w:val="00AF641D"/>
    <w:rsid w:val="00B67ADA"/>
    <w:rsid w:val="00CA0DF0"/>
    <w:rsid w:val="00D52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DB0"/>
    <w:rPr>
      <w:color w:val="0000FF" w:themeColor="hyperlink"/>
      <w:u w:val="single"/>
    </w:rPr>
  </w:style>
  <w:style w:type="paragraph" w:styleId="a4">
    <w:name w:val="List Paragraph"/>
    <w:basedOn w:val="a"/>
    <w:uiPriority w:val="34"/>
    <w:qFormat/>
    <w:rsid w:val="004A113E"/>
    <w:pPr>
      <w:ind w:leftChars="200" w:left="480"/>
    </w:pPr>
  </w:style>
  <w:style w:type="table" w:styleId="a5">
    <w:name w:val="Table Grid"/>
    <w:basedOn w:val="a1"/>
    <w:uiPriority w:val="59"/>
    <w:rsid w:val="00882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6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DB0"/>
    <w:rPr>
      <w:color w:val="0000FF" w:themeColor="hyperlink"/>
      <w:u w:val="single"/>
    </w:rPr>
  </w:style>
  <w:style w:type="paragraph" w:styleId="a4">
    <w:name w:val="List Paragraph"/>
    <w:basedOn w:val="a"/>
    <w:uiPriority w:val="34"/>
    <w:qFormat/>
    <w:rsid w:val="004A113E"/>
    <w:pPr>
      <w:ind w:leftChars="200" w:left="480"/>
    </w:pPr>
  </w:style>
  <w:style w:type="table" w:styleId="a5">
    <w:name w:val="Table Grid"/>
    <w:basedOn w:val="a1"/>
    <w:uiPriority w:val="59"/>
    <w:rsid w:val="00882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erowin.com/en/pdf/04-11.doc" TargetMode="External"/><Relationship Id="rId5" Type="http://schemas.openxmlformats.org/officeDocument/2006/relationships/hyperlink" Target="http://www.aerowin.com/en/pdf/04-1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3</cp:revision>
  <dcterms:created xsi:type="dcterms:W3CDTF">2025-03-10T07:54:00Z</dcterms:created>
  <dcterms:modified xsi:type="dcterms:W3CDTF">2025-03-10T07:58:00Z</dcterms:modified>
</cp:coreProperties>
</file>